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7429" w14:textId="77777777" w:rsidR="00DC2476" w:rsidRDefault="00976AB3">
      <w:pPr>
        <w:rPr>
          <w:rFonts w:ascii="Arial" w:eastAsia="Arial" w:hAnsi="Arial" w:cs="Arial"/>
          <w:b/>
          <w:sz w:val="22"/>
          <w:szCs w:val="22"/>
        </w:rPr>
      </w:pPr>
      <w:r>
        <w:rPr>
          <w:rFonts w:ascii="Arial" w:eastAsia="Arial" w:hAnsi="Arial" w:cs="Arial"/>
          <w:b/>
          <w:sz w:val="22"/>
          <w:szCs w:val="22"/>
        </w:rPr>
        <w:t>Proposal for a master thesis</w:t>
      </w:r>
    </w:p>
    <w:p w14:paraId="3B30742A" w14:textId="77777777" w:rsidR="00DC2476" w:rsidRDefault="00976AB3">
      <w:pPr>
        <w:rPr>
          <w:rFonts w:ascii="Arial" w:eastAsia="Arial" w:hAnsi="Arial" w:cs="Arial"/>
          <w:b/>
          <w:sz w:val="22"/>
          <w:szCs w:val="22"/>
        </w:rPr>
      </w:pPr>
      <w:r>
        <w:rPr>
          <w:rFonts w:ascii="Arial" w:eastAsia="Arial" w:hAnsi="Arial" w:cs="Arial"/>
          <w:b/>
          <w:sz w:val="22"/>
          <w:szCs w:val="22"/>
        </w:rPr>
        <w:t>Master Programme Infrastructure and Environmental Engineering 2025/26</w:t>
      </w:r>
    </w:p>
    <w:p w14:paraId="3B30742B" w14:textId="77777777" w:rsidR="00DC2476" w:rsidRDefault="00DC2476">
      <w:pPr>
        <w:rPr>
          <w:rFonts w:ascii="Arial" w:eastAsia="Arial" w:hAnsi="Arial" w:cs="Arial"/>
          <w:i/>
          <w:sz w:val="16"/>
          <w:szCs w:val="16"/>
        </w:rPr>
      </w:pPr>
    </w:p>
    <w:p w14:paraId="3B30742C" w14:textId="77777777" w:rsidR="00DC2476" w:rsidRDefault="00DC2476">
      <w:pPr>
        <w:rPr>
          <w:rFonts w:ascii="Arial" w:eastAsia="Arial" w:hAnsi="Arial" w:cs="Arial"/>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DC2476" w14:paraId="3B30742E" w14:textId="7559C1A4">
        <w:tc>
          <w:tcPr>
            <w:tcW w:w="9062" w:type="dxa"/>
            <w:shd w:val="clear" w:color="auto" w:fill="D9D9D9"/>
          </w:tcPr>
          <w:p w14:paraId="3B30742D" w14:textId="77777777" w:rsidR="00DC2476" w:rsidRDefault="00976AB3">
            <w:pPr>
              <w:rPr>
                <w:rFonts w:ascii="Arial" w:eastAsia="Arial" w:hAnsi="Arial" w:cs="Arial"/>
                <w:b/>
                <w:color w:val="000000"/>
                <w:sz w:val="20"/>
                <w:szCs w:val="20"/>
              </w:rPr>
            </w:pPr>
            <w:r>
              <w:rPr>
                <w:rFonts w:ascii="Arial" w:eastAsia="Arial" w:hAnsi="Arial" w:cs="Arial"/>
                <w:b/>
                <w:color w:val="000000"/>
                <w:sz w:val="20"/>
                <w:szCs w:val="20"/>
              </w:rPr>
              <w:t>Title</w:t>
            </w:r>
          </w:p>
        </w:tc>
      </w:tr>
      <w:tr w:rsidR="00DC2476" w14:paraId="3B307430" w14:textId="7028CAF4">
        <w:tc>
          <w:tcPr>
            <w:tcW w:w="9062" w:type="dxa"/>
          </w:tcPr>
          <w:p w14:paraId="3B30742F" w14:textId="77777777" w:rsidR="00DC2476" w:rsidRDefault="00976AB3">
            <w:r>
              <w:t>Master Thesis Proposal 7: Creating a Holistic Learning Environment for Adolescent Mothers – Architectural, Educational, and Environmental Design for Tumaini Open School</w:t>
            </w:r>
          </w:p>
        </w:tc>
      </w:tr>
      <w:tr w:rsidR="00DC2476" w14:paraId="3B307432" w14:textId="3A413F98">
        <w:tc>
          <w:tcPr>
            <w:tcW w:w="9062" w:type="dxa"/>
            <w:tcBorders>
              <w:bottom w:val="single" w:sz="4" w:space="0" w:color="000000"/>
            </w:tcBorders>
            <w:shd w:val="clear" w:color="auto" w:fill="D9D9D9"/>
          </w:tcPr>
          <w:p w14:paraId="3B307431" w14:textId="77777777" w:rsidR="00DC2476" w:rsidRDefault="00976AB3">
            <w:pPr>
              <w:pStyle w:val="Heading1"/>
              <w:rPr>
                <w:rFonts w:ascii="Arial" w:eastAsia="Arial" w:hAnsi="Arial" w:cs="Arial"/>
                <w:color w:val="000000"/>
                <w:sz w:val="20"/>
                <w:szCs w:val="20"/>
              </w:rPr>
            </w:pPr>
            <w:r>
              <w:rPr>
                <w:rFonts w:ascii="Arial" w:eastAsia="Arial" w:hAnsi="Arial" w:cs="Arial"/>
                <w:color w:val="000000"/>
                <w:sz w:val="20"/>
                <w:szCs w:val="20"/>
              </w:rPr>
              <w:t xml:space="preserve">Description </w:t>
            </w:r>
            <w:r>
              <w:rPr>
                <w:rFonts w:ascii="Arial" w:eastAsia="Arial" w:hAnsi="Arial" w:cs="Arial"/>
                <w:b w:val="0"/>
                <w:color w:val="000000"/>
                <w:sz w:val="18"/>
                <w:szCs w:val="18"/>
              </w:rPr>
              <w:t>background and problem description, app. 150-500 words</w:t>
            </w:r>
          </w:p>
        </w:tc>
      </w:tr>
      <w:tr w:rsidR="00DC2476" w14:paraId="3B30743E" w14:textId="293CB54A">
        <w:tc>
          <w:tcPr>
            <w:tcW w:w="9062" w:type="dxa"/>
          </w:tcPr>
          <w:p w14:paraId="3B307433" w14:textId="77777777" w:rsidR="00DC2476" w:rsidRDefault="00976AB3">
            <w:pPr>
              <w:spacing w:before="240" w:after="240"/>
            </w:pPr>
            <w:r>
              <w:rPr>
                <w:b/>
              </w:rPr>
              <w:t>Background:</w:t>
            </w:r>
            <w:r>
              <w:rPr>
                <w:b/>
              </w:rPr>
              <w:br/>
            </w:r>
            <w:r>
              <w:t xml:space="preserve"> A safe, functional, and empowering school environment is critical for adolescent mothers to thrive academically and emotionally. Tumaini Open School has a unique opportunity to set a new standard for inclusive, learner-centered infrastructure in rural Tanzania.</w:t>
            </w:r>
          </w:p>
          <w:p w14:paraId="3B307434" w14:textId="77777777" w:rsidR="00DC2476" w:rsidRDefault="00976AB3">
            <w:pPr>
              <w:spacing w:before="240" w:after="240"/>
            </w:pPr>
            <w:r>
              <w:rPr>
                <w:b/>
              </w:rPr>
              <w:t>Aim:</w:t>
            </w:r>
            <w:r>
              <w:rPr>
                <w:b/>
              </w:rPr>
              <w:br/>
            </w:r>
            <w:r>
              <w:t>To design and propose improvements for educational spaces and support facilities that optimize learning, thermal comfort, privacy, and dignity, especially for adolescent girls.</w:t>
            </w:r>
          </w:p>
          <w:p w14:paraId="3B307435" w14:textId="77777777" w:rsidR="00DC2476" w:rsidRDefault="00976AB3">
            <w:pPr>
              <w:spacing w:before="240" w:after="240"/>
              <w:rPr>
                <w:b/>
              </w:rPr>
            </w:pPr>
            <w:r>
              <w:rPr>
                <w:b/>
              </w:rPr>
              <w:t>Objectives:</w:t>
            </w:r>
          </w:p>
          <w:p w14:paraId="3B307436" w14:textId="77777777" w:rsidR="00DC2476" w:rsidRDefault="00976AB3">
            <w:pPr>
              <w:numPr>
                <w:ilvl w:val="0"/>
                <w:numId w:val="4"/>
              </w:numPr>
              <w:spacing w:before="240"/>
            </w:pPr>
            <w:r>
              <w:t>Assess existing learning environments (classrooms, outdoor spaces, dormitories) and identify gaps in comfort, lighting, acoustics, and flexibility.</w:t>
            </w:r>
            <w:r>
              <w:br/>
            </w:r>
          </w:p>
          <w:p w14:paraId="3B307437" w14:textId="77777777" w:rsidR="00DC2476" w:rsidRDefault="00976AB3">
            <w:pPr>
              <w:numPr>
                <w:ilvl w:val="0"/>
                <w:numId w:val="4"/>
              </w:numPr>
            </w:pPr>
            <w:r>
              <w:t>Explore economically viable best practices in educational architecture for vulnerable populations in East Africa.</w:t>
            </w:r>
            <w:r>
              <w:br/>
            </w:r>
          </w:p>
          <w:p w14:paraId="3B307438" w14:textId="39FF7728" w:rsidR="00DC2476" w:rsidRDefault="00976AB3">
            <w:pPr>
              <w:numPr>
                <w:ilvl w:val="0"/>
                <w:numId w:val="4"/>
              </w:numPr>
            </w:pPr>
            <w:r>
              <w:t xml:space="preserve">Develop recommendations for gender-sensitive infrastructure: menstrual hygiene rooms, </w:t>
            </w:r>
            <w:r w:rsidR="00643D04">
              <w:t>childcare</w:t>
            </w:r>
            <w:r>
              <w:t xml:space="preserve"> spaces, breastfeeding areas, and wellness rooms.</w:t>
            </w:r>
            <w:r>
              <w:br/>
            </w:r>
          </w:p>
          <w:p w14:paraId="3B307439" w14:textId="77777777" w:rsidR="00DC2476" w:rsidRDefault="00976AB3">
            <w:pPr>
              <w:numPr>
                <w:ilvl w:val="0"/>
                <w:numId w:val="4"/>
              </w:numPr>
            </w:pPr>
            <w:r>
              <w:t>Evaluate classroom ventilation, insulation, daylighting, and noise control to improve concentration and reduce fatigue.</w:t>
            </w:r>
            <w:r>
              <w:br/>
            </w:r>
          </w:p>
          <w:p w14:paraId="3B30743A" w14:textId="77777777" w:rsidR="00DC2476" w:rsidRDefault="00976AB3">
            <w:pPr>
              <w:numPr>
                <w:ilvl w:val="0"/>
                <w:numId w:val="4"/>
              </w:numPr>
            </w:pPr>
            <w:r>
              <w:t>Propose spatial routines, teacher-led interventions, and landscape features (e.g., shaded study zones) to support mental wellbeing.</w:t>
            </w:r>
            <w:r>
              <w:br/>
            </w:r>
          </w:p>
          <w:p w14:paraId="3B30743B" w14:textId="77777777" w:rsidR="00DC2476" w:rsidRDefault="00976AB3">
            <w:pPr>
              <w:numPr>
                <w:ilvl w:val="0"/>
                <w:numId w:val="4"/>
              </w:numPr>
              <w:spacing w:after="240"/>
            </w:pPr>
            <w:r>
              <w:t>Collaborate with teachers to establish pedagogical routines that improve student outcomes.</w:t>
            </w:r>
          </w:p>
          <w:p w14:paraId="3B30743C" w14:textId="77777777" w:rsidR="00DC2476" w:rsidRDefault="00976AB3">
            <w:pPr>
              <w:spacing w:before="240" w:after="240"/>
            </w:pPr>
            <w:r>
              <w:rPr>
                <w:b/>
              </w:rPr>
              <w:t>Methodology:</w:t>
            </w:r>
            <w:r>
              <w:rPr>
                <w:b/>
              </w:rPr>
              <w:br/>
            </w:r>
            <w:r>
              <w:t>User experience studies, architectural assessments, environmental performance modeling, participatory workshops with students and staff, and a review of UNESCO and UNICEF guidelines on inclusive school design.</w:t>
            </w:r>
          </w:p>
          <w:p w14:paraId="3B30743D" w14:textId="77777777" w:rsidR="00DC2476" w:rsidRDefault="00976AB3">
            <w:pPr>
              <w:spacing w:before="240" w:after="240"/>
              <w:rPr>
                <w:b/>
              </w:rPr>
            </w:pPr>
            <w:r>
              <w:rPr>
                <w:b/>
              </w:rPr>
              <w:t>Expected Outcomes:</w:t>
            </w:r>
            <w:r>
              <w:rPr>
                <w:b/>
              </w:rPr>
              <w:br/>
            </w:r>
            <w:r>
              <w:t>An integrated spatial master plan with design details for optimized learning environments, facility upgrades, and operational routines. Recommendations will support increased attendance, academic performance, and student wellbeing.</w:t>
            </w:r>
          </w:p>
        </w:tc>
      </w:tr>
      <w:tr w:rsidR="00DC2476" w14:paraId="3B307440" w14:textId="56CF859E">
        <w:tc>
          <w:tcPr>
            <w:tcW w:w="9062" w:type="dxa"/>
            <w:shd w:val="clear" w:color="auto" w:fill="D9D9D9"/>
          </w:tcPr>
          <w:p w14:paraId="3B30743F" w14:textId="77777777" w:rsidR="00DC2476" w:rsidRDefault="00976AB3">
            <w:pPr>
              <w:rPr>
                <w:rFonts w:ascii="Arial" w:eastAsia="Arial" w:hAnsi="Arial" w:cs="Arial"/>
                <w:b/>
                <w:color w:val="000000"/>
                <w:sz w:val="20"/>
                <w:szCs w:val="20"/>
              </w:rPr>
            </w:pPr>
            <w:r>
              <w:rPr>
                <w:rFonts w:ascii="Arial" w:eastAsia="Arial" w:hAnsi="Arial" w:cs="Arial"/>
                <w:b/>
                <w:color w:val="000000"/>
                <w:sz w:val="20"/>
                <w:szCs w:val="20"/>
              </w:rPr>
              <w:t>Literature suggestions</w:t>
            </w:r>
          </w:p>
        </w:tc>
      </w:tr>
      <w:tr w:rsidR="00DC2476" w14:paraId="3B307443" w14:textId="7D96818B">
        <w:tc>
          <w:tcPr>
            <w:tcW w:w="9062" w:type="dxa"/>
          </w:tcPr>
          <w:p w14:paraId="3B307441" w14:textId="77777777" w:rsidR="00DC2476" w:rsidRDefault="00976AB3">
            <w:pPr>
              <w:rPr>
                <w:rFonts w:ascii="Arial" w:eastAsia="Arial" w:hAnsi="Arial" w:cs="Arial"/>
                <w:sz w:val="20"/>
                <w:szCs w:val="20"/>
              </w:rPr>
            </w:pPr>
            <w:r>
              <w:rPr>
                <w:rFonts w:ascii="Arial" w:eastAsia="Arial" w:hAnsi="Arial" w:cs="Arial"/>
                <w:color w:val="000000"/>
                <w:sz w:val="20"/>
                <w:szCs w:val="20"/>
              </w:rPr>
              <w:t>Suggestion:</w:t>
            </w:r>
          </w:p>
          <w:p w14:paraId="3B307442" w14:textId="77777777" w:rsidR="00DC2476" w:rsidRDefault="00DC2476">
            <w:pPr>
              <w:rPr>
                <w:rFonts w:ascii="Arial" w:eastAsia="Arial" w:hAnsi="Arial" w:cs="Arial"/>
                <w:sz w:val="20"/>
                <w:szCs w:val="20"/>
              </w:rPr>
            </w:pPr>
          </w:p>
        </w:tc>
      </w:tr>
      <w:tr w:rsidR="00DC2476" w14:paraId="3B307445" w14:textId="47739950">
        <w:tc>
          <w:tcPr>
            <w:tcW w:w="9062" w:type="dxa"/>
            <w:shd w:val="clear" w:color="auto" w:fill="D9D9D9"/>
          </w:tcPr>
          <w:p w14:paraId="3B307444" w14:textId="77777777" w:rsidR="00DC2476" w:rsidRDefault="00976AB3">
            <w:pPr>
              <w:rPr>
                <w:rFonts w:ascii="Arial" w:eastAsia="Arial" w:hAnsi="Arial" w:cs="Arial"/>
                <w:b/>
                <w:color w:val="000000"/>
                <w:sz w:val="20"/>
                <w:szCs w:val="20"/>
              </w:rPr>
            </w:pPr>
            <w:r>
              <w:rPr>
                <w:rFonts w:ascii="Arial" w:eastAsia="Arial" w:hAnsi="Arial" w:cs="Arial"/>
                <w:b/>
                <w:color w:val="000000"/>
                <w:sz w:val="20"/>
                <w:szCs w:val="20"/>
              </w:rPr>
              <w:t>Special prerequisites</w:t>
            </w:r>
            <w:r>
              <w:rPr>
                <w:rFonts w:ascii="Arial" w:eastAsia="Arial" w:hAnsi="Arial" w:cs="Arial"/>
                <w:color w:val="000000"/>
                <w:sz w:val="16"/>
                <w:szCs w:val="16"/>
              </w:rPr>
              <w:t xml:space="preserve"> </w:t>
            </w:r>
            <w:r>
              <w:rPr>
                <w:rFonts w:ascii="Arial" w:eastAsia="Arial" w:hAnsi="Arial" w:cs="Arial"/>
                <w:color w:val="000000"/>
                <w:sz w:val="18"/>
                <w:szCs w:val="18"/>
              </w:rPr>
              <w:t>e.g. courses</w:t>
            </w:r>
          </w:p>
        </w:tc>
      </w:tr>
      <w:tr w:rsidR="00DC2476" w14:paraId="3B30744A" w14:textId="3EA82C73">
        <w:tc>
          <w:tcPr>
            <w:tcW w:w="9062" w:type="dxa"/>
          </w:tcPr>
          <w:p w14:paraId="3B307446" w14:textId="77777777" w:rsidR="00DC2476" w:rsidRDefault="00976AB3">
            <w:r>
              <w:rPr>
                <w:rFonts w:ascii="Calibri" w:eastAsia="Calibri" w:hAnsi="Calibri" w:cs="Calibri"/>
              </w:rPr>
              <w:lastRenderedPageBreak/>
              <w:t>The master thesis will require that you visit Tanzania for three months in order to conduct field work. Funding for your field studies can be applied for via the link below:</w:t>
            </w:r>
          </w:p>
          <w:p w14:paraId="3B307447" w14:textId="77777777" w:rsidR="00DC2476" w:rsidRDefault="00DC2476">
            <w:pPr>
              <w:numPr>
                <w:ilvl w:val="0"/>
                <w:numId w:val="3"/>
              </w:numPr>
              <w:rPr>
                <w:rFonts w:ascii="Calibri" w:eastAsia="Calibri" w:hAnsi="Calibri" w:cs="Calibri"/>
              </w:rPr>
            </w:pPr>
            <w:hyperlink r:id="rId7">
              <w:r>
                <w:rPr>
                  <w:rFonts w:ascii="Calibri" w:eastAsia="Calibri" w:hAnsi="Calibri" w:cs="Calibri"/>
                  <w:color w:val="1155CC"/>
                  <w:u w:val="single"/>
                </w:rPr>
                <w:t>Nils Rud Olson minnesfond (chalmers.se)</w:t>
              </w:r>
            </w:hyperlink>
          </w:p>
          <w:p w14:paraId="3B307448" w14:textId="77777777" w:rsidR="00DC2476" w:rsidRDefault="00DC2476">
            <w:pPr>
              <w:numPr>
                <w:ilvl w:val="0"/>
                <w:numId w:val="3"/>
              </w:numPr>
              <w:rPr>
                <w:rFonts w:ascii="Calibri" w:eastAsia="Calibri" w:hAnsi="Calibri" w:cs="Calibri"/>
              </w:rPr>
            </w:pPr>
            <w:hyperlink r:id="rId8">
              <w:r>
                <w:rPr>
                  <w:rFonts w:ascii="Calibri" w:eastAsia="Calibri" w:hAnsi="Calibri" w:cs="Calibri"/>
                  <w:color w:val="1155CC"/>
                  <w:u w:val="single"/>
                </w:rPr>
                <w:t>The Global Mentorship Program (chalmers.se)</w:t>
              </w:r>
            </w:hyperlink>
          </w:p>
          <w:p w14:paraId="3B307449" w14:textId="77777777" w:rsidR="00DC2476" w:rsidRDefault="00DC2476">
            <w:pPr>
              <w:rPr>
                <w:rFonts w:ascii="Calibri" w:eastAsia="Calibri" w:hAnsi="Calibri" w:cs="Calibri"/>
              </w:rPr>
            </w:pPr>
          </w:p>
        </w:tc>
      </w:tr>
      <w:tr w:rsidR="00DC2476" w14:paraId="3B30744C" w14:textId="2FF76A95">
        <w:tc>
          <w:tcPr>
            <w:tcW w:w="9062" w:type="dxa"/>
            <w:shd w:val="clear" w:color="auto" w:fill="D9D9D9"/>
          </w:tcPr>
          <w:p w14:paraId="3B30744B" w14:textId="77777777" w:rsidR="00DC2476" w:rsidRDefault="00976AB3">
            <w:pPr>
              <w:rPr>
                <w:rFonts w:ascii="Arial" w:eastAsia="Arial" w:hAnsi="Arial" w:cs="Arial"/>
                <w:b/>
                <w:color w:val="000000"/>
                <w:sz w:val="20"/>
                <w:szCs w:val="20"/>
              </w:rPr>
            </w:pPr>
            <w:r>
              <w:rPr>
                <w:rFonts w:ascii="Arial" w:eastAsia="Arial" w:hAnsi="Arial" w:cs="Arial"/>
                <w:b/>
                <w:color w:val="000000"/>
                <w:sz w:val="20"/>
                <w:szCs w:val="20"/>
              </w:rPr>
              <w:t xml:space="preserve">Specific timeframe </w:t>
            </w:r>
            <w:r>
              <w:rPr>
                <w:rFonts w:ascii="Arial" w:eastAsia="Arial" w:hAnsi="Arial" w:cs="Arial"/>
                <w:color w:val="000000"/>
                <w:sz w:val="18"/>
                <w:szCs w:val="18"/>
              </w:rPr>
              <w:t>(start date-end date, if needed)</w:t>
            </w:r>
          </w:p>
        </w:tc>
      </w:tr>
      <w:tr w:rsidR="00DC2476" w14:paraId="3B30744E" w14:textId="16656334">
        <w:tc>
          <w:tcPr>
            <w:tcW w:w="9062" w:type="dxa"/>
          </w:tcPr>
          <w:p w14:paraId="3B30744D" w14:textId="77777777" w:rsidR="00DC2476" w:rsidRDefault="00976AB3">
            <w:r>
              <w:t>Starting from the beginning of 2026 until the end of the academic year.</w:t>
            </w:r>
          </w:p>
        </w:tc>
      </w:tr>
      <w:tr w:rsidR="00DC2476" w14:paraId="3B307450" w14:textId="48B8EB68">
        <w:tc>
          <w:tcPr>
            <w:tcW w:w="9062" w:type="dxa"/>
            <w:shd w:val="clear" w:color="auto" w:fill="D9D9D9"/>
          </w:tcPr>
          <w:p w14:paraId="3B30744F" w14:textId="77777777" w:rsidR="00DC2476" w:rsidRDefault="00976AB3">
            <w:pPr>
              <w:rPr>
                <w:rFonts w:ascii="Arial" w:eastAsia="Arial" w:hAnsi="Arial" w:cs="Arial"/>
                <w:b/>
                <w:color w:val="000000"/>
                <w:sz w:val="20"/>
                <w:szCs w:val="20"/>
              </w:rPr>
            </w:pPr>
            <w:r>
              <w:rPr>
                <w:rFonts w:ascii="Arial" w:eastAsia="Arial" w:hAnsi="Arial" w:cs="Arial"/>
                <w:b/>
                <w:color w:val="000000"/>
                <w:sz w:val="20"/>
                <w:szCs w:val="20"/>
              </w:rPr>
              <w:t xml:space="preserve">Supervisors </w:t>
            </w:r>
            <w:r>
              <w:rPr>
                <w:rFonts w:ascii="Arial" w:eastAsia="Arial" w:hAnsi="Arial" w:cs="Arial"/>
                <w:color w:val="000000"/>
                <w:sz w:val="18"/>
                <w:szCs w:val="18"/>
              </w:rPr>
              <w:t>(name, email)</w:t>
            </w:r>
          </w:p>
        </w:tc>
      </w:tr>
      <w:tr w:rsidR="00DC2476" w14:paraId="3B307452" w14:textId="216BB262">
        <w:tc>
          <w:tcPr>
            <w:tcW w:w="9062" w:type="dxa"/>
          </w:tcPr>
          <w:p w14:paraId="3B307451" w14:textId="77777777" w:rsidR="00DC2476" w:rsidRDefault="00976AB3">
            <w:r>
              <w:t xml:space="preserve">Unkown </w:t>
            </w:r>
          </w:p>
        </w:tc>
      </w:tr>
      <w:tr w:rsidR="00DC2476" w14:paraId="3B307454" w14:textId="155F6AE7">
        <w:tc>
          <w:tcPr>
            <w:tcW w:w="9062" w:type="dxa"/>
            <w:shd w:val="clear" w:color="auto" w:fill="D9D9D9"/>
          </w:tcPr>
          <w:p w14:paraId="3B307453" w14:textId="77777777" w:rsidR="00DC2476" w:rsidRDefault="00976AB3">
            <w:pPr>
              <w:rPr>
                <w:rFonts w:ascii="Arial" w:eastAsia="Arial" w:hAnsi="Arial" w:cs="Arial"/>
                <w:color w:val="000000"/>
                <w:sz w:val="16"/>
                <w:szCs w:val="16"/>
              </w:rPr>
            </w:pPr>
            <w:r>
              <w:rPr>
                <w:rFonts w:ascii="Arial" w:eastAsia="Arial" w:hAnsi="Arial" w:cs="Arial"/>
                <w:b/>
                <w:color w:val="000000"/>
                <w:sz w:val="20"/>
                <w:szCs w:val="20"/>
              </w:rPr>
              <w:t xml:space="preserve">Examiner </w:t>
            </w:r>
            <w:r>
              <w:rPr>
                <w:rFonts w:ascii="Arial" w:eastAsia="Arial" w:hAnsi="Arial" w:cs="Arial"/>
                <w:color w:val="000000"/>
                <w:sz w:val="18"/>
                <w:szCs w:val="18"/>
              </w:rPr>
              <w:t>(name, email)</w:t>
            </w:r>
          </w:p>
        </w:tc>
      </w:tr>
      <w:tr w:rsidR="00DC2476" w14:paraId="3B307457" w14:textId="51AF4DA7">
        <w:tc>
          <w:tcPr>
            <w:tcW w:w="9062" w:type="dxa"/>
          </w:tcPr>
          <w:p w14:paraId="3B307455" w14:textId="77777777" w:rsidR="00DC2476" w:rsidRDefault="00976AB3">
            <w:r>
              <w:t>Unkown</w:t>
            </w:r>
          </w:p>
          <w:p w14:paraId="3B307456" w14:textId="77777777" w:rsidR="00DC2476" w:rsidRDefault="00DC2476"/>
        </w:tc>
      </w:tr>
      <w:tr w:rsidR="00DC2476" w14:paraId="3B307459" w14:textId="589BB444">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3B307458" w14:textId="77777777" w:rsidR="00DC2476" w:rsidRDefault="00976AB3">
            <w:pPr>
              <w:rPr>
                <w:rFonts w:ascii="Arial" w:eastAsia="Arial" w:hAnsi="Arial" w:cs="Arial"/>
                <w:b/>
                <w:sz w:val="20"/>
                <w:szCs w:val="20"/>
              </w:rPr>
            </w:pPr>
            <w:r>
              <w:rPr>
                <w:rFonts w:ascii="Arial" w:eastAsia="Arial" w:hAnsi="Arial" w:cs="Arial"/>
                <w:b/>
                <w:sz w:val="20"/>
                <w:szCs w:val="20"/>
              </w:rPr>
              <w:t>Other information</w:t>
            </w:r>
          </w:p>
        </w:tc>
      </w:tr>
      <w:tr w:rsidR="00DC2476" w14:paraId="3B30745B" w14:textId="342E4D7B">
        <w:tc>
          <w:tcPr>
            <w:tcW w:w="9062" w:type="dxa"/>
            <w:tcBorders>
              <w:top w:val="single" w:sz="4" w:space="0" w:color="000000"/>
              <w:left w:val="single" w:sz="4" w:space="0" w:color="000000"/>
              <w:bottom w:val="single" w:sz="4" w:space="0" w:color="000000"/>
              <w:right w:val="single" w:sz="4" w:space="0" w:color="000000"/>
            </w:tcBorders>
          </w:tcPr>
          <w:p w14:paraId="3B30745A" w14:textId="77777777" w:rsidR="00DC2476" w:rsidRDefault="00DC2476">
            <w:pPr>
              <w:rPr>
                <w:rFonts w:ascii="Calibri" w:eastAsia="Calibri" w:hAnsi="Calibri" w:cs="Calibri"/>
              </w:rPr>
            </w:pPr>
          </w:p>
        </w:tc>
      </w:tr>
    </w:tbl>
    <w:p w14:paraId="3B30745C" w14:textId="77777777" w:rsidR="00DC2476" w:rsidRDefault="00DC2476">
      <w:pPr>
        <w:rPr>
          <w:rFonts w:ascii="Arial" w:eastAsia="Arial" w:hAnsi="Arial" w:cs="Arial"/>
          <w:sz w:val="20"/>
          <w:szCs w:val="20"/>
        </w:rPr>
      </w:pPr>
    </w:p>
    <w:sectPr w:rsidR="00DC2476">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2649" w14:textId="77777777" w:rsidR="00C03083" w:rsidRDefault="00C03083">
      <w:r>
        <w:separator/>
      </w:r>
    </w:p>
  </w:endnote>
  <w:endnote w:type="continuationSeparator" w:id="0">
    <w:p w14:paraId="0E738EA5" w14:textId="77777777" w:rsidR="00C03083" w:rsidRDefault="00C0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8B45" w14:textId="77777777" w:rsidR="00C03083" w:rsidRDefault="00C03083">
      <w:r>
        <w:separator/>
      </w:r>
    </w:p>
  </w:footnote>
  <w:footnote w:type="continuationSeparator" w:id="0">
    <w:p w14:paraId="2B4541D7" w14:textId="77777777" w:rsidR="00C03083" w:rsidRDefault="00C0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745D" w14:textId="77777777" w:rsidR="00DC2476" w:rsidRDefault="00DC2476">
    <w:pPr>
      <w:pBdr>
        <w:top w:val="nil"/>
        <w:left w:val="nil"/>
        <w:bottom w:val="nil"/>
        <w:right w:val="nil"/>
        <w:between w:val="nil"/>
      </w:pBdr>
      <w:tabs>
        <w:tab w:val="center" w:pos="4513"/>
        <w:tab w:val="right" w:pos="902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B8C"/>
    <w:multiLevelType w:val="multilevel"/>
    <w:tmpl w:val="65500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8E684E"/>
    <w:multiLevelType w:val="multilevel"/>
    <w:tmpl w:val="8B969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E40A58"/>
    <w:multiLevelType w:val="multilevel"/>
    <w:tmpl w:val="25767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6972D5B"/>
    <w:multiLevelType w:val="multilevel"/>
    <w:tmpl w:val="8FC05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043552">
    <w:abstractNumId w:val="1"/>
  </w:num>
  <w:num w:numId="2" w16cid:durableId="1753156505">
    <w:abstractNumId w:val="3"/>
  </w:num>
  <w:num w:numId="3" w16cid:durableId="2052536611">
    <w:abstractNumId w:val="2"/>
  </w:num>
  <w:num w:numId="4" w16cid:durableId="197938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98"/>
    <w:rsid w:val="00121199"/>
    <w:rsid w:val="00132B68"/>
    <w:rsid w:val="002B2A39"/>
    <w:rsid w:val="00376606"/>
    <w:rsid w:val="00510A7E"/>
    <w:rsid w:val="00643D04"/>
    <w:rsid w:val="00976AB3"/>
    <w:rsid w:val="00A06ADA"/>
    <w:rsid w:val="00C03083"/>
    <w:rsid w:val="00DC2476"/>
    <w:rsid w:val="00E30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7429"/>
  <w15:docId w15:val="{96913101-5C81-4D15-926C-8B386AD7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510A7E"/>
    <w:pPr>
      <w:tabs>
        <w:tab w:val="center" w:pos="4536"/>
        <w:tab w:val="right" w:pos="9072"/>
      </w:tabs>
    </w:pPr>
  </w:style>
  <w:style w:type="character" w:customStyle="1" w:styleId="HeaderChar">
    <w:name w:val="Header Char"/>
    <w:basedOn w:val="DefaultParagraphFont"/>
    <w:link w:val="Header"/>
    <w:uiPriority w:val="99"/>
    <w:semiHidden/>
    <w:rsid w:val="00510A7E"/>
  </w:style>
  <w:style w:type="paragraph" w:styleId="Footer">
    <w:name w:val="footer"/>
    <w:basedOn w:val="Normal"/>
    <w:link w:val="FooterChar"/>
    <w:uiPriority w:val="99"/>
    <w:semiHidden/>
    <w:unhideWhenUsed/>
    <w:rsid w:val="00510A7E"/>
    <w:pPr>
      <w:tabs>
        <w:tab w:val="center" w:pos="4536"/>
        <w:tab w:val="right" w:pos="9072"/>
      </w:tabs>
    </w:pPr>
  </w:style>
  <w:style w:type="character" w:customStyle="1" w:styleId="FooterChar">
    <w:name w:val="Footer Char"/>
    <w:basedOn w:val="DefaultParagraphFont"/>
    <w:link w:val="Footer"/>
    <w:uiPriority w:val="99"/>
    <w:semiHidden/>
    <w:rsid w:val="0051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almers.se/en/education/study-at-chalmers/student-life/scholarships-for-enrolled-students/the-global-mentorship-program/" TargetMode="External"/><Relationship Id="rId3" Type="http://schemas.openxmlformats.org/officeDocument/2006/relationships/settings" Target="settings.xml"/><Relationship Id="rId7" Type="http://schemas.openxmlformats.org/officeDocument/2006/relationships/hyperlink" Target="https://www.chalmers.se/utbildning/studera-hos-oss/studentliv/stipendier-for-studenter/nils-rud-olson-minnesfo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2423</Characters>
  <Application>Microsoft Office Word</Application>
  <DocSecurity>4</DocSecurity>
  <Lines>20</Lines>
  <Paragraphs>5</Paragraphs>
  <ScaleCrop>false</ScaleCrop>
  <Company>WSP</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Charpentier</dc:creator>
  <cp:lastModifiedBy>Erika Charpentier</cp:lastModifiedBy>
  <cp:revision>2</cp:revision>
  <dcterms:created xsi:type="dcterms:W3CDTF">2025-09-02T11:14:00Z</dcterms:created>
  <dcterms:modified xsi:type="dcterms:W3CDTF">2025-09-02T11:14:00Z</dcterms:modified>
</cp:coreProperties>
</file>